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805" w:rsidRDefault="00924805" w:rsidP="00924805">
      <w:pPr>
        <w:spacing w:after="197"/>
        <w:ind w:right="108"/>
        <w:jc w:val="center"/>
      </w:pPr>
      <w:r>
        <w:rPr>
          <w:rFonts w:ascii="Arial" w:eastAsia="Arial" w:hAnsi="Arial" w:cs="Arial"/>
          <w:b/>
          <w:sz w:val="20"/>
          <w:u w:val="single" w:color="000000"/>
        </w:rPr>
        <w:t>ANNEXURE A- Members providing algorithmic trading services</w:t>
      </w:r>
      <w:r>
        <w:rPr>
          <w:rFonts w:ascii="Arial" w:eastAsia="Arial" w:hAnsi="Arial" w:cs="Arial"/>
          <w:b/>
          <w:sz w:val="20"/>
        </w:rPr>
        <w:t xml:space="preserve"> </w:t>
      </w:r>
    </w:p>
    <w:p w:rsidR="00924805" w:rsidRDefault="00924805" w:rsidP="00924805">
      <w:pPr>
        <w:spacing w:after="17"/>
        <w:ind w:right="34"/>
        <w:jc w:val="center"/>
      </w:pPr>
      <w:r>
        <w:rPr>
          <w:rFonts w:ascii="Arial" w:eastAsia="Arial" w:hAnsi="Arial" w:cs="Arial"/>
          <w:sz w:val="20"/>
        </w:rPr>
        <w:t xml:space="preserve"> </w:t>
      </w:r>
    </w:p>
    <w:p w:rsidR="00924805" w:rsidRDefault="00924805" w:rsidP="00924805">
      <w:pPr>
        <w:spacing w:after="0"/>
        <w:ind w:right="95"/>
        <w:jc w:val="center"/>
      </w:pPr>
      <w:r>
        <w:rPr>
          <w:rFonts w:ascii="Arial" w:eastAsia="Arial" w:hAnsi="Arial" w:cs="Arial"/>
          <w:sz w:val="20"/>
        </w:rPr>
        <w:t>(To be s</w:t>
      </w:r>
      <w:r w:rsidR="00D846DA">
        <w:rPr>
          <w:rFonts w:ascii="Arial" w:eastAsia="Arial" w:hAnsi="Arial" w:cs="Arial"/>
          <w:sz w:val="20"/>
        </w:rPr>
        <w:t>ubmitted on Member’s Letter Head</w:t>
      </w:r>
      <w:bookmarkStart w:id="0" w:name="_GoBack"/>
      <w:bookmarkEnd w:id="0"/>
      <w:r>
        <w:rPr>
          <w:rFonts w:ascii="Arial" w:eastAsia="Arial" w:hAnsi="Arial" w:cs="Arial"/>
          <w:sz w:val="20"/>
        </w:rPr>
        <w:t xml:space="preserve">) </w:t>
      </w:r>
    </w:p>
    <w:p w:rsidR="00924805" w:rsidRDefault="00924805" w:rsidP="00924805">
      <w:pPr>
        <w:spacing w:after="2"/>
        <w:ind w:right="840"/>
        <w:jc w:val="center"/>
      </w:pPr>
      <w:r>
        <w:rPr>
          <w:rFonts w:ascii="Arial" w:eastAsia="Arial" w:hAnsi="Arial" w:cs="Arial"/>
          <w:sz w:val="20"/>
        </w:rPr>
        <w:t xml:space="preserve"> </w:t>
      </w:r>
    </w:p>
    <w:p w:rsidR="00924805" w:rsidRDefault="00924805" w:rsidP="00924805">
      <w:pPr>
        <w:spacing w:after="0" w:line="284" w:lineRule="auto"/>
        <w:ind w:left="14" w:right="103"/>
        <w:jc w:val="both"/>
      </w:pPr>
      <w:r>
        <w:rPr>
          <w:rFonts w:ascii="Arial" w:eastAsia="Arial" w:hAnsi="Arial" w:cs="Arial"/>
          <w:sz w:val="20"/>
        </w:rPr>
        <w:t xml:space="preserve">I/We &lt;Name of Member&gt;, registered trading member &lt;member ID&gt; with National Commodity and Derivatives Exchange Ltd. </w:t>
      </w:r>
      <w:r>
        <w:rPr>
          <w:sz w:val="24"/>
        </w:rPr>
        <w:t>(NCDEX)</w:t>
      </w:r>
      <w:r>
        <w:rPr>
          <w:rFonts w:ascii="Arial" w:eastAsia="Arial" w:hAnsi="Arial" w:cs="Arial"/>
          <w:sz w:val="20"/>
        </w:rPr>
        <w:t xml:space="preserve"> hereby confirm that we are complying with the guidelines issued via SEBI vide circular no. SEBI/HO/MIRSD/DOP/P/CIR/2022/117 dated September 02, 2022 and Exchange circular no. NCDEX/TRADING-044/2022 dated September 07, 2022 regarding Performance/ Return claimed by unregulated platforms offering algorithmic strategies for trading.  </w:t>
      </w:r>
    </w:p>
    <w:p w:rsidR="00924805" w:rsidRDefault="00924805" w:rsidP="00924805">
      <w:pPr>
        <w:spacing w:after="0"/>
        <w:ind w:left="14"/>
      </w:pPr>
      <w:r>
        <w:rPr>
          <w:rFonts w:ascii="Arial" w:eastAsia="Arial" w:hAnsi="Arial" w:cs="Arial"/>
          <w:sz w:val="20"/>
        </w:rPr>
        <w:t xml:space="preserve"> </w:t>
      </w:r>
    </w:p>
    <w:p w:rsidR="00924805" w:rsidRDefault="00924805" w:rsidP="00924805">
      <w:pPr>
        <w:numPr>
          <w:ilvl w:val="0"/>
          <w:numId w:val="1"/>
        </w:numPr>
        <w:spacing w:after="0" w:line="283" w:lineRule="auto"/>
        <w:ind w:hanging="540"/>
        <w:jc w:val="both"/>
      </w:pPr>
      <w:r>
        <w:rPr>
          <w:rFonts w:ascii="Arial" w:eastAsia="Arial" w:hAnsi="Arial" w:cs="Arial"/>
          <w:sz w:val="20"/>
        </w:rPr>
        <w:t xml:space="preserve">We will not directly or indirectly make any reference to the past or expected future return/ performance of the algorithm trading services in any form of advertisements/ business communication on publicly accessible platforms such as social media/ websites/ digital &amp; print media, SMS, what’s app messages and telegram services </w:t>
      </w:r>
      <w:proofErr w:type="spellStart"/>
      <w:r>
        <w:rPr>
          <w:rFonts w:ascii="Arial" w:eastAsia="Arial" w:hAnsi="Arial" w:cs="Arial"/>
          <w:sz w:val="20"/>
        </w:rPr>
        <w:t>etc</w:t>
      </w:r>
      <w:proofErr w:type="spellEnd"/>
      <w:r>
        <w:rPr>
          <w:rFonts w:ascii="Arial" w:eastAsia="Arial" w:hAnsi="Arial" w:cs="Arial"/>
          <w:sz w:val="20"/>
        </w:rPr>
        <w:t xml:space="preserve">; and/or  </w:t>
      </w:r>
    </w:p>
    <w:p w:rsidR="00924805" w:rsidRDefault="00924805" w:rsidP="00924805">
      <w:pPr>
        <w:numPr>
          <w:ilvl w:val="0"/>
          <w:numId w:val="1"/>
        </w:numPr>
        <w:spacing w:after="2" w:line="277" w:lineRule="auto"/>
        <w:ind w:hanging="540"/>
        <w:jc w:val="both"/>
      </w:pPr>
      <w:r>
        <w:rPr>
          <w:rFonts w:ascii="Arial" w:eastAsia="Arial" w:hAnsi="Arial" w:cs="Arial"/>
          <w:sz w:val="20"/>
        </w:rPr>
        <w:t xml:space="preserve">We are not directly or indirectly associated with any platform providing any reference to the past or expected future return/performance of the algorithm. </w:t>
      </w:r>
    </w:p>
    <w:p w:rsidR="00924805" w:rsidRDefault="00924805" w:rsidP="00924805">
      <w:pPr>
        <w:numPr>
          <w:ilvl w:val="0"/>
          <w:numId w:val="1"/>
        </w:numPr>
        <w:spacing w:after="0" w:line="277" w:lineRule="auto"/>
        <w:ind w:hanging="540"/>
        <w:jc w:val="both"/>
      </w:pPr>
      <w:r>
        <w:rPr>
          <w:rFonts w:ascii="Arial" w:eastAsia="Arial" w:hAnsi="Arial" w:cs="Arial"/>
          <w:sz w:val="20"/>
        </w:rPr>
        <w:t xml:space="preserve">We shall not make any reference to the past performance or expected return out of algorithmic trading services, during any presentations/ account opening forms/ pamphlets/ banners/ forums/ gatherings organised to on-board new clients/ pitching new segment/ product to existing clients including, exhibiting of past performance, or expected return on any of the platforms used by Authorized </w:t>
      </w:r>
    </w:p>
    <w:p w:rsidR="00924805" w:rsidRDefault="00924805" w:rsidP="00924805">
      <w:pPr>
        <w:spacing w:after="19"/>
        <w:ind w:left="540"/>
      </w:pPr>
      <w:r>
        <w:rPr>
          <w:rFonts w:ascii="Arial" w:eastAsia="Arial" w:hAnsi="Arial" w:cs="Arial"/>
          <w:sz w:val="20"/>
        </w:rPr>
        <w:t xml:space="preserve">Persons/ Vendor/ associated entities of the member </w:t>
      </w:r>
    </w:p>
    <w:p w:rsidR="00924805" w:rsidRDefault="00924805" w:rsidP="00924805">
      <w:pPr>
        <w:numPr>
          <w:ilvl w:val="0"/>
          <w:numId w:val="1"/>
        </w:numPr>
        <w:spacing w:after="5" w:line="274" w:lineRule="auto"/>
        <w:ind w:hanging="540"/>
        <w:jc w:val="both"/>
      </w:pPr>
      <w:r>
        <w:rPr>
          <w:rFonts w:ascii="Arial" w:eastAsia="Arial" w:hAnsi="Arial" w:cs="Arial"/>
          <w:sz w:val="20"/>
        </w:rPr>
        <w:t xml:space="preserve">We have removed such reference from our website and/or disassociated ourselves from the aforesaid platforms providing such references, with effect from </w:t>
      </w:r>
      <w:r>
        <w:rPr>
          <w:rFonts w:ascii="Arial" w:eastAsia="Arial" w:hAnsi="Arial" w:cs="Arial"/>
          <w:b/>
          <w:sz w:val="20"/>
        </w:rPr>
        <w:t>September 09, 2022.</w:t>
      </w:r>
      <w:r>
        <w:rPr>
          <w:rFonts w:ascii="Arial" w:eastAsia="Arial" w:hAnsi="Arial" w:cs="Arial"/>
          <w:sz w:val="20"/>
        </w:rPr>
        <w:t xml:space="preserve"> </w:t>
      </w:r>
    </w:p>
    <w:p w:rsidR="00924805" w:rsidRDefault="00924805" w:rsidP="00924805">
      <w:pPr>
        <w:numPr>
          <w:ilvl w:val="0"/>
          <w:numId w:val="1"/>
        </w:numPr>
        <w:spacing w:after="23"/>
        <w:ind w:hanging="540"/>
        <w:jc w:val="both"/>
      </w:pPr>
      <w:r>
        <w:rPr>
          <w:rFonts w:ascii="Arial" w:eastAsia="Arial" w:hAnsi="Arial" w:cs="Arial"/>
          <w:sz w:val="20"/>
        </w:rPr>
        <w:t xml:space="preserve">We hereby confirm that, we have adhered to the provisions of SEBI circular no.  </w:t>
      </w:r>
    </w:p>
    <w:p w:rsidR="00924805" w:rsidRDefault="00924805" w:rsidP="00924805">
      <w:pPr>
        <w:spacing w:after="2" w:line="277" w:lineRule="auto"/>
        <w:ind w:left="540"/>
        <w:jc w:val="both"/>
      </w:pPr>
      <w:r>
        <w:rPr>
          <w:rFonts w:ascii="Arial" w:eastAsia="Arial" w:hAnsi="Arial" w:cs="Arial"/>
          <w:sz w:val="20"/>
        </w:rPr>
        <w:t xml:space="preserve">SEBI/HO/MIRSD/DOP/P/CIR/2022/117 dated September 02, 2022, and Exchange circular no. NCDEX/TRADING-044/2022 dated September 07, 2022. </w:t>
      </w:r>
    </w:p>
    <w:p w:rsidR="00924805" w:rsidRDefault="00924805" w:rsidP="00924805">
      <w:pPr>
        <w:numPr>
          <w:ilvl w:val="0"/>
          <w:numId w:val="1"/>
        </w:numPr>
        <w:spacing w:after="0" w:line="277" w:lineRule="auto"/>
        <w:ind w:hanging="540"/>
        <w:jc w:val="both"/>
      </w:pPr>
      <w:r>
        <w:rPr>
          <w:rFonts w:ascii="Arial" w:eastAsia="Arial" w:hAnsi="Arial" w:cs="Arial"/>
          <w:sz w:val="20"/>
        </w:rPr>
        <w:t xml:space="preserve">I/We further confirm that, I/We will be held responsible for any non-compliance of the abovementioned circular at all times. </w:t>
      </w:r>
    </w:p>
    <w:p w:rsidR="00924805" w:rsidRDefault="00924805" w:rsidP="00924805">
      <w:pPr>
        <w:spacing w:after="0"/>
        <w:ind w:left="14"/>
      </w:pPr>
      <w:r>
        <w:rPr>
          <w:rFonts w:ascii="Arial" w:eastAsia="Arial" w:hAnsi="Arial" w:cs="Arial"/>
          <w:sz w:val="20"/>
        </w:rPr>
        <w:t xml:space="preserve"> </w:t>
      </w:r>
    </w:p>
    <w:p w:rsidR="00924805" w:rsidRDefault="00924805" w:rsidP="00924805">
      <w:pPr>
        <w:spacing w:after="0"/>
        <w:ind w:left="14"/>
      </w:pPr>
      <w:r>
        <w:rPr>
          <w:rFonts w:ascii="Arial" w:eastAsia="Arial" w:hAnsi="Arial" w:cs="Arial"/>
          <w:sz w:val="20"/>
        </w:rPr>
        <w:t xml:space="preserve"> </w:t>
      </w:r>
    </w:p>
    <w:p w:rsidR="00924805" w:rsidRDefault="00924805" w:rsidP="00924805">
      <w:pPr>
        <w:spacing w:after="0" w:line="277" w:lineRule="auto"/>
        <w:ind w:left="16" w:hanging="2"/>
        <w:jc w:val="both"/>
      </w:pPr>
      <w:r>
        <w:rPr>
          <w:rFonts w:ascii="Arial" w:eastAsia="Arial" w:hAnsi="Arial" w:cs="Arial"/>
          <w:sz w:val="20"/>
        </w:rPr>
        <w:t xml:space="preserve">I/We hereby submit the supporting document(s) to confirm the compliance of the above-mentioned points (Annexure I enclosed herewith showing before and after status). </w:t>
      </w:r>
    </w:p>
    <w:p w:rsidR="00924805" w:rsidRDefault="00924805" w:rsidP="00924805">
      <w:pPr>
        <w:spacing w:after="0"/>
        <w:ind w:right="34"/>
        <w:jc w:val="center"/>
      </w:pPr>
      <w:r>
        <w:rPr>
          <w:rFonts w:ascii="Arial" w:eastAsia="Arial" w:hAnsi="Arial" w:cs="Arial"/>
          <w:b/>
          <w:sz w:val="20"/>
        </w:rPr>
        <w:t xml:space="preserve"> </w:t>
      </w:r>
    </w:p>
    <w:p w:rsidR="00924805" w:rsidRDefault="00924805" w:rsidP="00924805">
      <w:pPr>
        <w:spacing w:after="0"/>
        <w:ind w:right="34"/>
        <w:jc w:val="center"/>
      </w:pPr>
      <w:r>
        <w:rPr>
          <w:rFonts w:ascii="Arial" w:eastAsia="Arial" w:hAnsi="Arial" w:cs="Arial"/>
          <w:b/>
          <w:sz w:val="20"/>
        </w:rPr>
        <w:t xml:space="preserve"> </w:t>
      </w:r>
    </w:p>
    <w:p w:rsidR="00924805" w:rsidRDefault="00924805" w:rsidP="00924805">
      <w:pPr>
        <w:spacing w:after="96"/>
        <w:ind w:left="14"/>
      </w:pPr>
      <w:r>
        <w:rPr>
          <w:rFonts w:ascii="Arial" w:eastAsia="Arial" w:hAnsi="Arial" w:cs="Arial"/>
          <w:b/>
          <w:sz w:val="20"/>
        </w:rPr>
        <w:t xml:space="preserve">Date  </w:t>
      </w:r>
    </w:p>
    <w:p w:rsidR="00924805" w:rsidRDefault="00924805" w:rsidP="00924805">
      <w:pPr>
        <w:spacing w:after="98"/>
        <w:ind w:left="14"/>
      </w:pPr>
      <w:r>
        <w:rPr>
          <w:rFonts w:ascii="Arial" w:eastAsia="Arial" w:hAnsi="Arial" w:cs="Arial"/>
          <w:b/>
          <w:sz w:val="20"/>
        </w:rPr>
        <w:t xml:space="preserve">Place  </w:t>
      </w:r>
    </w:p>
    <w:p w:rsidR="00924805" w:rsidRDefault="00924805" w:rsidP="00924805">
      <w:pPr>
        <w:spacing w:after="98"/>
        <w:ind w:left="14"/>
      </w:pPr>
      <w:r>
        <w:rPr>
          <w:rFonts w:ascii="Arial" w:eastAsia="Arial" w:hAnsi="Arial" w:cs="Arial"/>
          <w:b/>
          <w:sz w:val="20"/>
        </w:rPr>
        <w:t xml:space="preserve">Compliance Officer/ Designated Director  </w:t>
      </w:r>
    </w:p>
    <w:p w:rsidR="00924805" w:rsidRDefault="00924805" w:rsidP="00924805">
      <w:pPr>
        <w:spacing w:after="197"/>
        <w:ind w:right="59"/>
        <w:rPr>
          <w:rFonts w:ascii="Arial" w:eastAsia="Arial" w:hAnsi="Arial" w:cs="Arial"/>
          <w:b/>
          <w:sz w:val="20"/>
          <w:u w:val="single" w:color="000000"/>
        </w:rPr>
      </w:pPr>
      <w:r>
        <w:rPr>
          <w:rFonts w:ascii="Arial" w:eastAsia="Arial" w:hAnsi="Arial" w:cs="Arial"/>
          <w:b/>
          <w:sz w:val="20"/>
        </w:rPr>
        <w:t>Signature and stamp</w:t>
      </w:r>
    </w:p>
    <w:p w:rsidR="00924805" w:rsidRDefault="00924805" w:rsidP="00924805">
      <w:pPr>
        <w:spacing w:after="197"/>
        <w:ind w:right="59"/>
        <w:jc w:val="center"/>
        <w:rPr>
          <w:rFonts w:ascii="Arial" w:eastAsia="Arial" w:hAnsi="Arial" w:cs="Arial"/>
          <w:b/>
          <w:sz w:val="20"/>
          <w:u w:val="single" w:color="000000"/>
        </w:rPr>
      </w:pPr>
    </w:p>
    <w:p w:rsidR="00924805" w:rsidRDefault="00924805" w:rsidP="00924805">
      <w:pPr>
        <w:spacing w:after="197"/>
        <w:ind w:right="59"/>
        <w:jc w:val="center"/>
        <w:rPr>
          <w:rFonts w:ascii="Arial" w:eastAsia="Arial" w:hAnsi="Arial" w:cs="Arial"/>
          <w:b/>
          <w:sz w:val="20"/>
          <w:u w:val="single" w:color="000000"/>
        </w:rPr>
      </w:pPr>
    </w:p>
    <w:p w:rsidR="00924805" w:rsidRDefault="00924805" w:rsidP="00924805">
      <w:pPr>
        <w:spacing w:after="197"/>
        <w:ind w:right="59"/>
        <w:jc w:val="center"/>
        <w:rPr>
          <w:rFonts w:ascii="Arial" w:eastAsia="Arial" w:hAnsi="Arial" w:cs="Arial"/>
          <w:b/>
          <w:sz w:val="20"/>
          <w:u w:val="single" w:color="000000"/>
        </w:rPr>
      </w:pPr>
    </w:p>
    <w:p w:rsidR="00924805" w:rsidRDefault="00924805" w:rsidP="00924805">
      <w:pPr>
        <w:spacing w:after="197"/>
        <w:ind w:right="59"/>
        <w:jc w:val="center"/>
        <w:rPr>
          <w:rFonts w:ascii="Arial" w:eastAsia="Arial" w:hAnsi="Arial" w:cs="Arial"/>
          <w:b/>
          <w:sz w:val="20"/>
          <w:u w:val="single" w:color="000000"/>
        </w:rPr>
      </w:pPr>
    </w:p>
    <w:p w:rsidR="00924805" w:rsidRDefault="00924805" w:rsidP="00924805">
      <w:pPr>
        <w:spacing w:after="197"/>
        <w:ind w:right="59"/>
        <w:jc w:val="center"/>
        <w:rPr>
          <w:rFonts w:ascii="Arial" w:eastAsia="Arial" w:hAnsi="Arial" w:cs="Arial"/>
          <w:b/>
          <w:sz w:val="20"/>
          <w:u w:val="single" w:color="000000"/>
        </w:rPr>
      </w:pPr>
    </w:p>
    <w:p w:rsidR="00924805" w:rsidRDefault="00924805" w:rsidP="00924805">
      <w:pPr>
        <w:spacing w:after="197"/>
        <w:ind w:right="59"/>
        <w:jc w:val="center"/>
        <w:rPr>
          <w:rFonts w:ascii="Arial" w:eastAsia="Arial" w:hAnsi="Arial" w:cs="Arial"/>
          <w:b/>
          <w:sz w:val="20"/>
          <w:u w:val="single" w:color="000000"/>
        </w:rPr>
      </w:pPr>
    </w:p>
    <w:p w:rsidR="00924805" w:rsidRDefault="00924805" w:rsidP="00924805">
      <w:pPr>
        <w:spacing w:after="197"/>
        <w:ind w:right="59"/>
        <w:jc w:val="center"/>
        <w:rPr>
          <w:rFonts w:ascii="Arial" w:eastAsia="Arial" w:hAnsi="Arial" w:cs="Arial"/>
          <w:b/>
          <w:sz w:val="20"/>
          <w:u w:val="single" w:color="000000"/>
        </w:rPr>
      </w:pPr>
    </w:p>
    <w:p w:rsidR="00924805" w:rsidRDefault="00924805" w:rsidP="00924805">
      <w:pPr>
        <w:spacing w:after="197"/>
        <w:ind w:right="59"/>
        <w:jc w:val="center"/>
      </w:pPr>
      <w:r>
        <w:rPr>
          <w:rFonts w:ascii="Arial" w:eastAsia="Arial" w:hAnsi="Arial" w:cs="Arial"/>
          <w:b/>
          <w:sz w:val="20"/>
          <w:u w:val="single" w:color="000000"/>
        </w:rPr>
        <w:lastRenderedPageBreak/>
        <w:t>ANNEXURE B - Members not providing algorithmic trading services</w:t>
      </w:r>
      <w:r>
        <w:rPr>
          <w:rFonts w:ascii="Arial" w:eastAsia="Arial" w:hAnsi="Arial" w:cs="Arial"/>
          <w:b/>
          <w:sz w:val="20"/>
        </w:rPr>
        <w:t xml:space="preserve"> </w:t>
      </w:r>
    </w:p>
    <w:p w:rsidR="00924805" w:rsidRDefault="00924805" w:rsidP="00924805">
      <w:pPr>
        <w:spacing w:after="17"/>
        <w:ind w:right="2"/>
        <w:jc w:val="center"/>
      </w:pPr>
      <w:r>
        <w:rPr>
          <w:rFonts w:ascii="Arial" w:eastAsia="Arial" w:hAnsi="Arial" w:cs="Arial"/>
          <w:sz w:val="20"/>
        </w:rPr>
        <w:t xml:space="preserve"> </w:t>
      </w:r>
    </w:p>
    <w:p w:rsidR="00924805" w:rsidRDefault="00924805" w:rsidP="00924805">
      <w:pPr>
        <w:spacing w:after="0"/>
        <w:ind w:right="58"/>
        <w:jc w:val="center"/>
      </w:pPr>
      <w:r>
        <w:rPr>
          <w:rFonts w:ascii="Arial" w:eastAsia="Arial" w:hAnsi="Arial" w:cs="Arial"/>
          <w:sz w:val="20"/>
        </w:rPr>
        <w:t xml:space="preserve">(To be submitted on Member’s Letter Head) </w:t>
      </w:r>
    </w:p>
    <w:p w:rsidR="00924805" w:rsidRDefault="00924805" w:rsidP="00924805">
      <w:pPr>
        <w:spacing w:after="0"/>
        <w:ind w:right="2"/>
        <w:jc w:val="center"/>
      </w:pPr>
      <w:r>
        <w:rPr>
          <w:rFonts w:ascii="Arial" w:eastAsia="Arial" w:hAnsi="Arial" w:cs="Arial"/>
          <w:sz w:val="20"/>
        </w:rPr>
        <w:t xml:space="preserve"> </w:t>
      </w:r>
    </w:p>
    <w:p w:rsidR="00924805" w:rsidRDefault="00924805" w:rsidP="00924805">
      <w:pPr>
        <w:spacing w:after="0" w:line="278" w:lineRule="auto"/>
        <w:ind w:right="59"/>
        <w:jc w:val="both"/>
      </w:pPr>
      <w:r>
        <w:rPr>
          <w:rFonts w:ascii="Arial" w:eastAsia="Arial" w:hAnsi="Arial" w:cs="Arial"/>
          <w:sz w:val="20"/>
        </w:rPr>
        <w:t xml:space="preserve">I/We </w:t>
      </w:r>
      <w:r>
        <w:rPr>
          <w:rFonts w:ascii="Arial" w:eastAsia="Arial" w:hAnsi="Arial" w:cs="Arial"/>
          <w:i/>
          <w:sz w:val="20"/>
        </w:rPr>
        <w:t>&lt;Name of Member&gt;</w:t>
      </w:r>
      <w:r>
        <w:rPr>
          <w:rFonts w:ascii="Arial" w:eastAsia="Arial" w:hAnsi="Arial" w:cs="Arial"/>
          <w:sz w:val="20"/>
        </w:rPr>
        <w:t xml:space="preserve">, registered trading member &lt;Member id&gt; with National Commodity and Derivatives Exchange Ltd. (NCDEX) hereby confirm that we are complying with the guidelines issued by SEBI vide circular ref. no. SEBI/HO/MIRSD/DOP/P/CIR/2022/117 dated September 02, 2022 and </w:t>
      </w:r>
    </w:p>
    <w:p w:rsidR="00924805" w:rsidRDefault="00924805" w:rsidP="00924805">
      <w:pPr>
        <w:spacing w:after="19"/>
      </w:pPr>
      <w:r>
        <w:rPr>
          <w:rFonts w:ascii="Arial" w:eastAsia="Arial" w:hAnsi="Arial" w:cs="Arial"/>
          <w:sz w:val="20"/>
        </w:rPr>
        <w:t xml:space="preserve">Exchange circular no. NCDEX/TRADING-044/2022 dated September 07, 2022 regarding </w:t>
      </w:r>
    </w:p>
    <w:p w:rsidR="00924805" w:rsidRDefault="00924805" w:rsidP="00924805">
      <w:pPr>
        <w:spacing w:after="14"/>
      </w:pPr>
      <w:r>
        <w:rPr>
          <w:rFonts w:ascii="Arial" w:eastAsia="Arial" w:hAnsi="Arial" w:cs="Arial"/>
          <w:sz w:val="20"/>
        </w:rPr>
        <w:t xml:space="preserve">Performance/Return claimed by unregulated platforms offering algorithmic strategies for trading. </w:t>
      </w:r>
    </w:p>
    <w:p w:rsidR="00924805" w:rsidRDefault="00924805" w:rsidP="00924805">
      <w:pPr>
        <w:spacing w:after="0"/>
      </w:pPr>
      <w:r>
        <w:rPr>
          <w:rFonts w:ascii="Arial" w:eastAsia="Arial" w:hAnsi="Arial" w:cs="Arial"/>
          <w:b/>
          <w:sz w:val="20"/>
        </w:rPr>
        <w:t xml:space="preserve"> </w:t>
      </w:r>
    </w:p>
    <w:p w:rsidR="00924805" w:rsidRDefault="00924805" w:rsidP="00924805">
      <w:pPr>
        <w:spacing w:after="0" w:line="277" w:lineRule="auto"/>
        <w:ind w:right="59"/>
        <w:jc w:val="both"/>
      </w:pPr>
      <w:r>
        <w:rPr>
          <w:rFonts w:ascii="Arial" w:eastAsia="Arial" w:hAnsi="Arial" w:cs="Arial"/>
          <w:sz w:val="20"/>
        </w:rPr>
        <w:t xml:space="preserve">Further, I/We hereby confirm that we are not directly/ indirectly referring to any past or expected future return/ performance of an algorithm trading services in any form of advertisements/ business communication on publicly accessible platforms such as social media/ websites/ digital &amp; print media etc. and are not associated with any platform providing such reference. </w:t>
      </w:r>
    </w:p>
    <w:p w:rsidR="00924805" w:rsidRDefault="00924805" w:rsidP="00924805">
      <w:pPr>
        <w:spacing w:after="17"/>
      </w:pPr>
      <w:r>
        <w:rPr>
          <w:rFonts w:ascii="Arial" w:eastAsia="Arial" w:hAnsi="Arial" w:cs="Arial"/>
          <w:sz w:val="20"/>
        </w:rPr>
        <w:t xml:space="preserve"> </w:t>
      </w:r>
    </w:p>
    <w:p w:rsidR="00924805" w:rsidRDefault="00924805" w:rsidP="00924805">
      <w:pPr>
        <w:spacing w:after="0" w:line="241" w:lineRule="auto"/>
        <w:jc w:val="both"/>
      </w:pPr>
      <w:r>
        <w:rPr>
          <w:rFonts w:ascii="Arial" w:eastAsia="Arial" w:hAnsi="Arial" w:cs="Arial"/>
          <w:sz w:val="20"/>
        </w:rPr>
        <w:t xml:space="preserve">I/We further confirm that, I/We will be held responsible for any non-compliance of the above-mentioned circular at all times </w:t>
      </w:r>
    </w:p>
    <w:p w:rsidR="00924805" w:rsidRDefault="00924805" w:rsidP="00924805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924805" w:rsidRDefault="00924805" w:rsidP="00924805">
      <w:pPr>
        <w:spacing w:after="17"/>
      </w:pPr>
      <w:r>
        <w:rPr>
          <w:rFonts w:ascii="Arial" w:eastAsia="Arial" w:hAnsi="Arial" w:cs="Arial"/>
          <w:sz w:val="20"/>
        </w:rPr>
        <w:t xml:space="preserve"> </w:t>
      </w:r>
    </w:p>
    <w:p w:rsidR="00924805" w:rsidRDefault="00924805" w:rsidP="00924805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924805" w:rsidRDefault="00924805" w:rsidP="00924805">
      <w:pPr>
        <w:spacing w:after="0"/>
      </w:pPr>
      <w:r>
        <w:rPr>
          <w:rFonts w:ascii="Arial" w:eastAsia="Arial" w:hAnsi="Arial" w:cs="Arial"/>
          <w:b/>
          <w:i/>
          <w:sz w:val="20"/>
        </w:rPr>
        <w:t xml:space="preserve"> </w:t>
      </w:r>
    </w:p>
    <w:p w:rsidR="00924805" w:rsidRDefault="00924805" w:rsidP="00924805">
      <w:pPr>
        <w:spacing w:after="98"/>
      </w:pPr>
      <w:r>
        <w:rPr>
          <w:rFonts w:ascii="Arial" w:eastAsia="Arial" w:hAnsi="Arial" w:cs="Arial"/>
          <w:b/>
          <w:sz w:val="20"/>
        </w:rPr>
        <w:t xml:space="preserve">Date  </w:t>
      </w:r>
    </w:p>
    <w:p w:rsidR="00924805" w:rsidRDefault="00924805" w:rsidP="00924805">
      <w:pPr>
        <w:spacing w:after="96"/>
      </w:pPr>
      <w:r>
        <w:rPr>
          <w:rFonts w:ascii="Arial" w:eastAsia="Arial" w:hAnsi="Arial" w:cs="Arial"/>
          <w:b/>
          <w:sz w:val="20"/>
        </w:rPr>
        <w:t xml:space="preserve">Place  </w:t>
      </w:r>
    </w:p>
    <w:p w:rsidR="00924805" w:rsidRDefault="00924805" w:rsidP="00924805">
      <w:pPr>
        <w:spacing w:after="99"/>
      </w:pPr>
      <w:r>
        <w:rPr>
          <w:rFonts w:ascii="Arial" w:eastAsia="Arial" w:hAnsi="Arial" w:cs="Arial"/>
          <w:b/>
          <w:sz w:val="20"/>
        </w:rPr>
        <w:t xml:space="preserve">Compliance Officer/Designated Director  </w:t>
      </w:r>
    </w:p>
    <w:p w:rsidR="00F96C9A" w:rsidRDefault="00924805" w:rsidP="00924805">
      <w:r>
        <w:rPr>
          <w:rFonts w:ascii="Arial" w:eastAsia="Arial" w:hAnsi="Arial" w:cs="Arial"/>
          <w:b/>
          <w:sz w:val="20"/>
        </w:rPr>
        <w:t>Signature and stamp</w:t>
      </w:r>
    </w:p>
    <w:sectPr w:rsidR="00F96C9A" w:rsidSect="00924805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C469A"/>
    <w:multiLevelType w:val="hybridMultilevel"/>
    <w:tmpl w:val="6D105A64"/>
    <w:lvl w:ilvl="0" w:tplc="360241AC">
      <w:start w:val="1"/>
      <w:numFmt w:val="lowerLetter"/>
      <w:lvlText w:val="%1.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14826A">
      <w:start w:val="1"/>
      <w:numFmt w:val="lowerLetter"/>
      <w:lvlText w:val="%2"/>
      <w:lvlJc w:val="left"/>
      <w:pPr>
        <w:ind w:left="2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56C72E">
      <w:start w:val="1"/>
      <w:numFmt w:val="lowerRoman"/>
      <w:lvlText w:val="%3"/>
      <w:lvlJc w:val="left"/>
      <w:pPr>
        <w:ind w:left="27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110FA1C">
      <w:start w:val="1"/>
      <w:numFmt w:val="decimal"/>
      <w:lvlText w:val="%4"/>
      <w:lvlJc w:val="left"/>
      <w:pPr>
        <w:ind w:left="34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38D080">
      <w:start w:val="1"/>
      <w:numFmt w:val="lowerLetter"/>
      <w:lvlText w:val="%5"/>
      <w:lvlJc w:val="left"/>
      <w:pPr>
        <w:ind w:left="41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34B462">
      <w:start w:val="1"/>
      <w:numFmt w:val="lowerRoman"/>
      <w:lvlText w:val="%6"/>
      <w:lvlJc w:val="left"/>
      <w:pPr>
        <w:ind w:left="49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A5434E0">
      <w:start w:val="1"/>
      <w:numFmt w:val="decimal"/>
      <w:lvlText w:val="%7"/>
      <w:lvlJc w:val="left"/>
      <w:pPr>
        <w:ind w:left="56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F01610">
      <w:start w:val="1"/>
      <w:numFmt w:val="lowerLetter"/>
      <w:lvlText w:val="%8"/>
      <w:lvlJc w:val="left"/>
      <w:pPr>
        <w:ind w:left="63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601EBE">
      <w:start w:val="1"/>
      <w:numFmt w:val="lowerRoman"/>
      <w:lvlText w:val="%9"/>
      <w:lvlJc w:val="left"/>
      <w:pPr>
        <w:ind w:left="70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805"/>
    <w:rsid w:val="00924805"/>
    <w:rsid w:val="00D846DA"/>
    <w:rsid w:val="00F9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51313"/>
  <w15:chartTrackingRefBased/>
  <w15:docId w15:val="{BA022228-1062-49C0-A6FD-E7443446B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805"/>
    <w:rPr>
      <w:rFonts w:ascii="Calibri" w:eastAsia="Calibri" w:hAnsi="Calibri" w:cs="Calibri"/>
      <w:color w:val="000000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Suraj Sanjay Kadam</dc:creator>
  <cp:keywords/>
  <dc:description/>
  <cp:lastModifiedBy>Suraj Sanjay Kadam</cp:lastModifiedBy>
  <cp:revision>2</cp:revision>
  <dcterms:created xsi:type="dcterms:W3CDTF">2022-09-22T08:41:00Z</dcterms:created>
  <dcterms:modified xsi:type="dcterms:W3CDTF">2023-02-13T08:23:00Z</dcterms:modified>
</cp:coreProperties>
</file>